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黑体" w:cs="黑体"/>
          <w:sz w:val="28"/>
          <w:szCs w:val="28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黑体_GBK" w:cs="方正黑体_GBK"/>
          <w:sz w:val="32"/>
          <w:szCs w:val="32"/>
        </w:rPr>
        <w:t>：</w:t>
      </w:r>
    </w:p>
    <w:p>
      <w:pPr>
        <w:jc w:val="center"/>
        <w:rPr>
          <w:rFonts w:ascii="宋体" w:hAnsi="宋体" w:eastAsia="方正小标宋简体" w:cs="Times New Roman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2021年度项目支出绩效自评表</w:t>
      </w:r>
    </w:p>
    <w:p>
      <w:pPr>
        <w:widowControl/>
        <w:jc w:val="left"/>
        <w:rPr>
          <w:rFonts w:hint="eastAsia" w:ascii="宋体" w:hAnsi="宋体" w:eastAsia="楷体_GB2312" w:cs="楷体_GB2312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单位名称：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保山市质量技术监督综合检测中心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kern w:val="0"/>
          <w:sz w:val="15"/>
          <w:szCs w:val="15"/>
        </w:rPr>
        <w:t xml:space="preserve">             </w:t>
      </w:r>
      <w:r>
        <w:rPr>
          <w:rFonts w:hint="eastAsia" w:ascii="宋体" w:hAnsi="宋体" w:cs="宋体"/>
          <w:kern w:val="0"/>
          <w:sz w:val="15"/>
          <w:szCs w:val="15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2022年5月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日</w:t>
      </w: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经营性成本返还经费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　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保山市质量技术监督综合检测中心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保山市质量技术监督综合检测中心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、部门预算项目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直专项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3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对下转移支付项目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预算数（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660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316.68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47.98%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产品质量检验检测批次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5000批次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10697批次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计量器具检校台/件数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25000台（件）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29900台（件）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检验报告复检率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&lt;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0.1%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0.05%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检验检测完成时间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2021年12月31日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2021年12月31日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交付检验报告时限(水泥)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40天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35天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交付检验报告时限(除水泥外)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25天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21天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检验业务投诉处理时限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15天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1天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项目成本控制金额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660万元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316.68万元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经营性收入完成额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1100万元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1198.83万元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提升我市产品质量，打造保山市地方特色的产品品牌，有效帮助企业树立品牌形象，促进特色产业发展,提供检验检测技术支持。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=效果明显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为保障当地食品安全、产品质量安全提供检验检测技术服务。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=效果明显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效果明显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客户异议解决率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=100%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送检单位满意率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99%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客户投诉次数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0次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89.60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因财政资金紧张，年中对单位项目资金进行调整，减少实际到账额度。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根据单位用款计划需求，加强与财政沟通，合理减少财政调整项目资金额度，确保单位正常运转及符合发展需求。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hint="eastAsia" w:ascii="宋体" w:hAnsi="宋体" w:eastAsia="仿宋_GB2312" w:cs="仿宋_GB2312"/>
          <w:kern w:val="0"/>
          <w:sz w:val="21"/>
          <w:szCs w:val="21"/>
        </w:rPr>
        <w:t>备注：</w:t>
      </w:r>
      <w:r>
        <w:rPr>
          <w:rFonts w:ascii="宋体" w:hAnsi="宋体" w:eastAsia="仿宋_GB2312" w:cs="仿宋_GB2312"/>
          <w:kern w:val="0"/>
          <w:sz w:val="21"/>
          <w:szCs w:val="21"/>
        </w:rPr>
        <w:t>1.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预算执行情况口径：预算数为调整后财政资金总额（包括上年结余结转），执行数为资金使用单位财政资金实际支出数。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2.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仿宋_GB2312" w:cs="仿宋_GB2312"/>
          <w:kern w:val="0"/>
          <w:sz w:val="21"/>
          <w:szCs w:val="21"/>
        </w:rPr>
        <w:t>X,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*B/A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），反向指标（即目标值为≤</w:t>
      </w:r>
      <w:r>
        <w:rPr>
          <w:rFonts w:ascii="宋体" w:hAnsi="宋体" w:eastAsia="仿宋_GB2312" w:cs="仿宋_GB2312"/>
          <w:kern w:val="0"/>
          <w:sz w:val="21"/>
          <w:szCs w:val="21"/>
        </w:rPr>
        <w:t>X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*A/B）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3.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仿宋_GB2312" w:cs="仿宋_GB2312"/>
          <w:kern w:val="0"/>
          <w:sz w:val="21"/>
          <w:szCs w:val="21"/>
        </w:rPr>
        <w:t>100-80%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80-50%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50-0%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r>
        <w:rPr>
          <w:rFonts w:ascii="宋体" w:hAnsi="宋体" w:eastAsia="仿宋_GB2312" w:cs="仿宋_GB2312"/>
          <w:kern w:val="0"/>
          <w:sz w:val="21"/>
          <w:szCs w:val="21"/>
        </w:rPr>
        <w:t>4.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基于经济性和必要性等因素考虑，满意度指标暂可不作为必评指标。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2022-06-29T02:54:50Z</dcterms:created>
  <dc:creator>Administrator</dc:creator>
  <cp:lastModifiedBy>Administrator</cp:lastModifiedBy>
  <dcterms:modified xsi:type="dcterms:W3CDTF">2022-06-29T02:55:01Z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