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2021年度保山市质量技术监督综合检测中心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rPr>
        <w:t>部门整体支出绩效自评报告</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方正黑体_GBK" w:hAnsi="黑体" w:eastAsia="方正黑体_GBK" w:cs="黑体"/>
          <w:sz w:val="11"/>
          <w:szCs w:val="11"/>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（一）部门概况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保山市质量技术监督综合检测中心为市人民政府管理的副处级公益二类全额拨款事业单位，共核定事业编制45名，其中，主任1名(副处级)副主任4名(正科级)、内设机构副科级领导职数9名。设置9个副科级内设机构：党政办公室、计划财务部、人事管理部、质量技术部、综合业务部、科研开发培训部、计量检定测试所、产品质量检验所、特种设备检验检测所。主要承担计量、质量、特种设备监督检验、强制检定、仲裁检验(检定)及事故鉴定等技术工作，提供检定校准、检验检测服务；开展质量基础技术研究和技术服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部门绩效目标的设立情况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2021年保山市质量技术监督综合检测中心部门绩效目标：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特种设备监督检验成本补助经费项目：须对全市10384台（件）（不含年度新增数）特种设备实施监督检验和定期检验（其中：电梯4641台（件）、场内机动车349辆、起重机520台（件）、锅炉441台（件）、压力容器949台（件）、油罐车134辆、安全阀3333只、压力管道17条）。该类检验为行政事业性收费项目，根据任务测算，2021年特种设备检验收入500万元，支出数额根据2021年特种设备检验收入500万元的70%返还，其中：基本支出100万元，项目支出250万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2、计量强检与基础建设经费项目：对强制计量器具实施免费检定，共计检测工程、信电、衡器、流量、理化、交通、热工、医疗类计量器具87种，计量强制检定数量35000台（件），预算金额150万元。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经营性成本返还经费项目：完成计量器具检校25000台（件），产品质量检验5000批次。项目预算目标收入为：2021总收入1100万元，其中：基本支出440万元，项目支出660万元。2021年总支出1100万元，其中：基本支出440万元，项目支出660万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4、做好本部门人员、公用经费保障，按规定落实干部职工各项待遇，支持部门正常履职。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部门整体收支情况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部门整体收支预算数为2107.25万元（其中：基本支出1047.25万元、项目支出1060.00万元），执行数为1541.95万元（其中：基本支出1069.73万元，与年初基本支出预算数相比执行率为102.15%；项目支出472.22万元，与年初项目支出预算数相比执行率为44.55%），执行率为73.17%。</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部门整体支出预算数2107.25万元中：工资福利支出1126.26万元，与决算数874.92万元相比，执行率为77.68%；商品和服务支出776.51万元，与决算数629.62万元相比，执行率为81.08%；对个人和家庭的补助0.28万元，与决算数0.27万元相比，执行率为96.43%；资本性支出204.20万元，与决算数37.14万元相比，执行率为18.19%。</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部门预算管理制度建设情况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保山市质量技术监督综合检测中心根据《中华人民共和国会计法》、《中华人民共和国预算法》等有关法律、法规规定，制定了符合单位实际的预算管理制度。同时，设置了由单位中心主任任组长，分管财务副主任任副组长，计划财务部负责人任办公室主任，其他领导班子、各部门负责人为成员的预算决策领导小组。预算决策领导小组下设在计划财务部，负责组织、编制与预算业务相关的各项工作。预算工作采取谁负责谁预算的原则，其他部门工作人员应结合工作特点，合理设置项目绩效目标，积极配合计划财务部完成预算编制工作，并严格执行财政下达预算资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二、绩效自评工作情况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（一）绩效自评目的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1、进一步提升绩效管理水平，强化支出责任，提高财政资金使用效益，并运用科学、合理的评价方法，对年初部门申报预算项目资金绩效目标完成情况作出客观评价。</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通过开展绩效自评工作，可以根据项目绩效目标完成情况来进一步了解项目资金的使用、管理情况，掌握其执行是否达到预期目标、资金管理是否规范、资金使用是否有效，是否实现了预期的经济、社会效益，为以后年度项目资金预算编制总结经验，使预算编制更合理、准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自评指标体系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部门整体评价包含部门预算执行基本情况、部门年度重点工作任务、部门整体支出绩效指标三部分内容。以资金安排使用和预算绩效管理情况为重点，部门整体支出绩效指标在设定了投入、过程、产出和效果四个一级指标的基础上，基于经济性和必要性等因素考虑，以分值为权重，将项目绩效指标的实际完成值与年初目标值进行比较，并对其分值进行加权平均计算，以此评价其完成情况，分值为100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自评组织过程</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前期准备。我中心严格按照《保山市财政关于2021年市级部门整体支出和项目支出绩效自评及财政绩效评价有关事项的通知》保财绩【2022】)4号文件要求，建立绩效自评领导小组，并制定部门整体支出绩效自评实施方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组织实施。绩效自评领导小组听取项目实施相关部门汇报绩效目标完成情况，并由计划财务部牵头对2021年度部门整体支出绩效情况如实开展自评，并撰写自评报告。同时，针对项目执行过程中存在的不足，绩效自评领导小组给出合理化的建议与措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 xml:space="preserve">评价情况分析及综合评价结论  </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（一）投入情况分析</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预算资金的投入使保山市质量技术监督综合检测中心运转得到基本保障，确保了我中心能够有效履行部门“三定’方案中的职责职能，符合部门制定的三年中长期规划，符合国家法律法规、国民经济和社会发展总体规划，能够客观反映出项目实施相关部门工作开展实际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（二）过程情况分析</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预算执行方面，2021年由于财政资金紧张，年中对我中心经营性成本返还经费、计量强检与基础建设经费、特种设备监督检验成本补助经费项目资金进行调整，减少了实际到账额度，导致2021年项目资金实际执行数与预算数有所差异。</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i w:val="0"/>
          <w:caps w:val="0"/>
          <w:color w:val="323333"/>
          <w:spacing w:val="0"/>
          <w:kern w:val="0"/>
          <w:sz w:val="32"/>
          <w:szCs w:val="32"/>
          <w:shd w:val="clear" w:fill="FDFDFB"/>
          <w:lang w:val="en-US" w:eastAsia="zh-CN" w:bidi="ar"/>
        </w:rPr>
      </w:pPr>
      <w:r>
        <w:rPr>
          <w:rFonts w:hint="default" w:ascii="方正仿宋_GBK" w:hAnsi="方正仿宋_GBK" w:eastAsia="方正仿宋_GBK" w:cs="方正仿宋_GBK"/>
          <w:sz w:val="32"/>
          <w:szCs w:val="32"/>
          <w:lang w:val="en-US" w:eastAsia="zh-CN"/>
        </w:rPr>
        <w:t>预算管理方面，</w:t>
      </w:r>
      <w:r>
        <w:rPr>
          <w:rFonts w:hint="eastAsia" w:ascii="方正仿宋_GBK" w:hAnsi="方正仿宋_GBK" w:eastAsia="方正仿宋_GBK" w:cs="方正仿宋_GBK"/>
          <w:sz w:val="32"/>
          <w:szCs w:val="32"/>
          <w:lang w:val="en-US" w:eastAsia="zh-CN"/>
        </w:rPr>
        <w:t>按照单位内部控制制度，规范预算编制及调整；严格执行单位年初预算，客观评价绩效完成情况，按时公开预决算、“三公经费”情况，不断提高预算编制的科学性、准确性，提升资金使用效益和单位预算管理水平。</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（三）产出情况分析</w:t>
      </w:r>
    </w:p>
    <w:p>
      <w:pPr>
        <w:pStyle w:val="12"/>
        <w:numPr>
          <w:ilvl w:val="0"/>
          <w:numId w:val="0"/>
        </w:numPr>
        <w:ind w:leftChars="200"/>
        <w:rPr>
          <w:rFonts w:hint="eastAsia"/>
        </w:rPr>
      </w:pPr>
    </w:p>
    <w:tbl>
      <w:tblPr>
        <w:tblStyle w:val="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jc w:val="center"/>
              <w:rPr>
                <w:rFonts w:hint="eastAsia" w:ascii="宋体" w:hAnsi="宋体" w:eastAsia="宋体" w:cs="宋体"/>
                <w:vertAlign w:val="baseline"/>
              </w:rPr>
            </w:pPr>
            <w:r>
              <w:rPr>
                <w:rFonts w:hint="eastAsia" w:ascii="宋体" w:hAnsi="宋体" w:eastAsia="宋体" w:cs="宋体"/>
                <w:kern w:val="0"/>
                <w:sz w:val="21"/>
                <w:szCs w:val="21"/>
                <w:highlight w:val="none"/>
              </w:rPr>
              <w:t>一级指标</w:t>
            </w:r>
          </w:p>
        </w:tc>
        <w:tc>
          <w:tcPr>
            <w:tcW w:w="1812" w:type="dxa"/>
            <w:vAlign w:val="center"/>
          </w:tcPr>
          <w:p>
            <w:pPr>
              <w:widowControl/>
              <w:jc w:val="center"/>
              <w:rPr>
                <w:rFonts w:hint="eastAsia" w:ascii="宋体" w:hAnsi="宋体" w:eastAsia="宋体" w:cs="宋体"/>
                <w:vertAlign w:val="baseline"/>
              </w:rPr>
            </w:pPr>
            <w:r>
              <w:rPr>
                <w:rFonts w:hint="eastAsia" w:ascii="宋体" w:hAnsi="宋体" w:eastAsia="宋体" w:cs="宋体"/>
                <w:kern w:val="0"/>
                <w:sz w:val="21"/>
                <w:szCs w:val="21"/>
                <w:highlight w:val="none"/>
              </w:rPr>
              <w:t>二级指标</w:t>
            </w:r>
          </w:p>
        </w:tc>
        <w:tc>
          <w:tcPr>
            <w:tcW w:w="1812" w:type="dxa"/>
            <w:vAlign w:val="center"/>
          </w:tcPr>
          <w:p>
            <w:pPr>
              <w:widowControl/>
              <w:jc w:val="center"/>
              <w:rPr>
                <w:rFonts w:hint="eastAsia" w:ascii="宋体" w:hAnsi="宋体" w:eastAsia="宋体" w:cs="宋体"/>
                <w:vertAlign w:val="baseline"/>
              </w:rPr>
            </w:pPr>
            <w:r>
              <w:rPr>
                <w:rFonts w:hint="eastAsia" w:ascii="宋体" w:hAnsi="宋体" w:eastAsia="宋体" w:cs="宋体"/>
                <w:kern w:val="0"/>
                <w:sz w:val="21"/>
                <w:szCs w:val="21"/>
                <w:highlight w:val="none"/>
              </w:rPr>
              <w:t>三级指标</w:t>
            </w:r>
          </w:p>
        </w:tc>
        <w:tc>
          <w:tcPr>
            <w:tcW w:w="1812" w:type="dxa"/>
            <w:vAlign w:val="center"/>
          </w:tcPr>
          <w:p>
            <w:pPr>
              <w:widowControl/>
              <w:jc w:val="center"/>
              <w:rPr>
                <w:rFonts w:hint="eastAsia" w:ascii="宋体" w:hAnsi="宋体" w:eastAsia="宋体" w:cs="宋体"/>
                <w:vertAlign w:val="baseline"/>
              </w:rPr>
            </w:pPr>
            <w:r>
              <w:rPr>
                <w:rFonts w:hint="eastAsia" w:ascii="宋体" w:hAnsi="宋体" w:eastAsia="宋体" w:cs="宋体"/>
                <w:kern w:val="0"/>
                <w:sz w:val="21"/>
                <w:szCs w:val="21"/>
                <w:highlight w:val="none"/>
              </w:rPr>
              <w:t>年初目标值（A）</w:t>
            </w:r>
          </w:p>
        </w:tc>
        <w:tc>
          <w:tcPr>
            <w:tcW w:w="1813" w:type="dxa"/>
            <w:vAlign w:val="center"/>
          </w:tcPr>
          <w:p>
            <w:pPr>
              <w:widowControl/>
              <w:jc w:val="center"/>
              <w:rPr>
                <w:rFonts w:hint="eastAsia" w:ascii="宋体" w:hAnsi="宋体" w:eastAsia="宋体" w:cs="宋体"/>
                <w:vertAlign w:val="baseline"/>
              </w:rPr>
            </w:pPr>
            <w:r>
              <w:rPr>
                <w:rFonts w:hint="eastAsia" w:ascii="宋体" w:hAnsi="宋体" w:eastAsia="宋体" w:cs="宋体"/>
                <w:kern w:val="0"/>
                <w:sz w:val="21"/>
                <w:szCs w:val="21"/>
                <w:highlight w:val="none"/>
              </w:rPr>
              <w:t>实际完成值（B）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812" w:type="dxa"/>
            <w:vMerge w:val="restart"/>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rPr>
              <w:t>产出指标</w:t>
            </w:r>
          </w:p>
        </w:tc>
        <w:tc>
          <w:tcPr>
            <w:tcW w:w="1812" w:type="dxa"/>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lang w:eastAsia="zh-CN"/>
              </w:rPr>
              <w:t>数量指标</w:t>
            </w:r>
          </w:p>
        </w:tc>
        <w:tc>
          <w:tcPr>
            <w:tcW w:w="1812" w:type="dxa"/>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lang w:eastAsia="zh-CN"/>
              </w:rPr>
              <w:t>计量强制检定数量</w:t>
            </w:r>
          </w:p>
        </w:tc>
        <w:tc>
          <w:tcPr>
            <w:tcW w:w="1812" w:type="dxa"/>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lang w:val="en-US" w:eastAsia="zh-CN"/>
              </w:rPr>
              <w:t>≧35000台（件）</w:t>
            </w:r>
          </w:p>
        </w:tc>
        <w:tc>
          <w:tcPr>
            <w:tcW w:w="1813" w:type="dxa"/>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lang w:val="en-US" w:eastAsia="zh-CN"/>
              </w:rPr>
              <w:t>41187台（件）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tcBorders/>
            <w:vAlign w:val="center"/>
          </w:tcPr>
          <w:p>
            <w:pPr>
              <w:widowControl/>
              <w:snapToGrid w:val="0"/>
              <w:jc w:val="center"/>
              <w:rPr>
                <w:rFonts w:hint="eastAsia" w:ascii="宋体" w:hAnsi="宋体" w:eastAsia="宋体" w:cs="宋体"/>
                <w:kern w:val="0"/>
                <w:sz w:val="21"/>
                <w:szCs w:val="21"/>
                <w:highlight w:val="none"/>
                <w:lang w:eastAsia="zh-CN"/>
              </w:rPr>
            </w:pPr>
          </w:p>
        </w:tc>
        <w:tc>
          <w:tcPr>
            <w:tcW w:w="1812" w:type="dxa"/>
            <w:vAlign w:val="center"/>
          </w:tcPr>
          <w:p>
            <w:pPr>
              <w:widowControl/>
              <w:snapToGrid w:val="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时效指标</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政府采购招标完成时间</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≦2021年12月31日</w:t>
            </w:r>
          </w:p>
        </w:tc>
        <w:tc>
          <w:tcPr>
            <w:tcW w:w="1813" w:type="dxa"/>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rPr>
              <w:t>≦2021年12月31日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tcBorders/>
            <w:vAlign w:val="center"/>
          </w:tcPr>
          <w:p>
            <w:pPr>
              <w:widowControl/>
              <w:snapToGrid w:val="0"/>
              <w:jc w:val="center"/>
              <w:rPr>
                <w:rFonts w:hint="eastAsia" w:ascii="宋体" w:hAnsi="宋体" w:eastAsia="宋体" w:cs="宋体"/>
                <w:kern w:val="0"/>
                <w:sz w:val="21"/>
                <w:szCs w:val="21"/>
                <w:highlight w:val="none"/>
                <w:lang w:eastAsia="zh-CN"/>
              </w:rPr>
            </w:pPr>
          </w:p>
        </w:tc>
        <w:tc>
          <w:tcPr>
            <w:tcW w:w="1812" w:type="dxa"/>
            <w:vAlign w:val="center"/>
          </w:tcPr>
          <w:p>
            <w:pPr>
              <w:widowControl/>
              <w:snapToGrid w:val="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时效指标</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检测计量设备完成时间</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≦2日</w:t>
            </w:r>
          </w:p>
        </w:tc>
        <w:tc>
          <w:tcPr>
            <w:tcW w:w="1813" w:type="dxa"/>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lang w:val="en-US" w:eastAsia="zh-CN"/>
              </w:rPr>
              <w:t>≦2日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tcBorders/>
            <w:vAlign w:val="center"/>
          </w:tcPr>
          <w:p>
            <w:pPr>
              <w:widowControl/>
              <w:snapToGrid w:val="0"/>
              <w:jc w:val="center"/>
              <w:rPr>
                <w:rFonts w:hint="eastAsia" w:ascii="宋体" w:hAnsi="宋体" w:eastAsia="宋体" w:cs="宋体"/>
                <w:kern w:val="0"/>
                <w:sz w:val="21"/>
                <w:szCs w:val="21"/>
                <w:highlight w:val="none"/>
                <w:lang w:eastAsia="zh-CN"/>
              </w:rPr>
            </w:pPr>
          </w:p>
        </w:tc>
        <w:tc>
          <w:tcPr>
            <w:tcW w:w="1812" w:type="dxa"/>
            <w:vAlign w:val="center"/>
          </w:tcPr>
          <w:p>
            <w:pPr>
              <w:widowControl/>
              <w:snapToGrid w:val="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成本指标</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计量强制检定工作支出限额</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≦150万元</w:t>
            </w:r>
          </w:p>
        </w:tc>
        <w:tc>
          <w:tcPr>
            <w:tcW w:w="1813" w:type="dxa"/>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lang w:val="en-US" w:eastAsia="zh-CN"/>
              </w:rPr>
              <w:t>61.94万元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tcBorders/>
            <w:vAlign w:val="center"/>
          </w:tcPr>
          <w:p>
            <w:pPr>
              <w:pStyle w:val="12"/>
              <w:numPr>
                <w:ilvl w:val="0"/>
                <w:numId w:val="0"/>
              </w:numPr>
              <w:jc w:val="center"/>
              <w:rPr>
                <w:rFonts w:hint="eastAsia" w:ascii="宋体" w:hAnsi="宋体" w:eastAsia="宋体" w:cs="宋体"/>
                <w:vertAlign w:val="baseline"/>
              </w:rPr>
            </w:pPr>
          </w:p>
        </w:tc>
        <w:tc>
          <w:tcPr>
            <w:tcW w:w="1812" w:type="dxa"/>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lang w:eastAsia="zh-CN"/>
              </w:rPr>
              <w:t>数量指标</w:t>
            </w:r>
          </w:p>
        </w:tc>
        <w:tc>
          <w:tcPr>
            <w:tcW w:w="1812" w:type="dxa"/>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rPr>
              <w:t>特种设备检验检测台件数</w:t>
            </w:r>
          </w:p>
        </w:tc>
        <w:tc>
          <w:tcPr>
            <w:tcW w:w="1812" w:type="dxa"/>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lang w:val="en-US" w:eastAsia="zh-CN"/>
              </w:rPr>
              <w:t>≧10384台（件）</w:t>
            </w:r>
          </w:p>
        </w:tc>
        <w:tc>
          <w:tcPr>
            <w:tcW w:w="1813" w:type="dxa"/>
            <w:vAlign w:val="center"/>
          </w:tcPr>
          <w:p>
            <w:pPr>
              <w:widowControl/>
              <w:snapToGrid w:val="0"/>
              <w:jc w:val="center"/>
              <w:rPr>
                <w:rFonts w:hint="eastAsia" w:ascii="宋体" w:hAnsi="宋体" w:eastAsia="宋体" w:cs="宋体"/>
                <w:vertAlign w:val="baseline"/>
              </w:rPr>
            </w:pPr>
            <w:r>
              <w:rPr>
                <w:rFonts w:hint="eastAsia" w:ascii="宋体" w:hAnsi="宋体" w:eastAsia="宋体" w:cs="宋体"/>
                <w:kern w:val="0"/>
                <w:sz w:val="21"/>
                <w:szCs w:val="21"/>
                <w:highlight w:val="none"/>
                <w:lang w:val="en-US" w:eastAsia="zh-CN"/>
              </w:rPr>
              <w:t>12662台（件）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tcBorders/>
            <w:vAlign w:val="center"/>
          </w:tcPr>
          <w:p>
            <w:pPr>
              <w:pStyle w:val="12"/>
              <w:numPr>
                <w:ilvl w:val="0"/>
                <w:numId w:val="0"/>
              </w:numPr>
              <w:jc w:val="center"/>
              <w:rPr>
                <w:rFonts w:hint="eastAsia" w:ascii="宋体" w:hAnsi="宋体" w:eastAsia="宋体" w:cs="宋体"/>
                <w:kern w:val="0"/>
                <w:sz w:val="21"/>
                <w:szCs w:val="21"/>
                <w:highlight w:val="none"/>
              </w:rPr>
            </w:pPr>
          </w:p>
        </w:tc>
        <w:tc>
          <w:tcPr>
            <w:tcW w:w="1812" w:type="dxa"/>
            <w:vAlign w:val="center"/>
          </w:tcPr>
          <w:p>
            <w:pPr>
              <w:widowControl/>
              <w:snapToGrid w:val="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质量指标</w:t>
            </w:r>
          </w:p>
        </w:tc>
        <w:tc>
          <w:tcPr>
            <w:tcW w:w="1812" w:type="dxa"/>
            <w:vAlign w:val="center"/>
          </w:tcPr>
          <w:p>
            <w:pPr>
              <w:widowControl/>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设备验收合格率</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100%</w:t>
            </w:r>
          </w:p>
        </w:tc>
        <w:tc>
          <w:tcPr>
            <w:tcW w:w="1813"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100%</w:t>
            </w:r>
          </w:p>
        </w:tc>
      </w:tr>
    </w:tbl>
    <w:p>
      <w:pPr>
        <w:pStyle w:val="12"/>
        <w:numPr>
          <w:ilvl w:val="0"/>
          <w:numId w:val="0"/>
        </w:numPr>
        <w:rPr>
          <w:rFonts w:hint="eastAsia"/>
          <w:lang w:val="en-US" w:eastAsia="zh-CN"/>
        </w:rPr>
      </w:pPr>
    </w:p>
    <w:tbl>
      <w:tblPr>
        <w:tblStyle w:val="8"/>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57"/>
        <w:gridCol w:w="1857"/>
        <w:gridCol w:w="1858"/>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一级指标</w:t>
            </w:r>
          </w:p>
        </w:tc>
        <w:tc>
          <w:tcPr>
            <w:tcW w:w="1857" w:type="dxa"/>
            <w:vAlign w:val="center"/>
          </w:tcPr>
          <w:p>
            <w:pPr>
              <w:widowControl/>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二级指标</w:t>
            </w:r>
          </w:p>
        </w:tc>
        <w:tc>
          <w:tcPr>
            <w:tcW w:w="1858" w:type="dxa"/>
            <w:vAlign w:val="center"/>
          </w:tcPr>
          <w:p>
            <w:pPr>
              <w:widowControl/>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三级指标</w:t>
            </w:r>
          </w:p>
        </w:tc>
        <w:tc>
          <w:tcPr>
            <w:tcW w:w="1858" w:type="dxa"/>
            <w:vAlign w:val="center"/>
          </w:tcPr>
          <w:p>
            <w:pPr>
              <w:widowControl/>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年初目标值（A）</w:t>
            </w:r>
          </w:p>
        </w:tc>
        <w:tc>
          <w:tcPr>
            <w:tcW w:w="1858" w:type="dxa"/>
            <w:vAlign w:val="center"/>
          </w:tcPr>
          <w:p>
            <w:pPr>
              <w:widowControl/>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实际完成值（B）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restart"/>
            <w:vAlign w:val="center"/>
          </w:tcPr>
          <w:p>
            <w:pPr>
              <w:pStyle w:val="12"/>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产出指标</w:t>
            </w: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时效指标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设备验收完成时间</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≦2021年12月31日</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成本指标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成本控制数</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≦250万元</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93.60万元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数量指标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产品质量检验检测批次</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≧5000批次</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10697批次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数量指标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计量器具检校台/件数</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25000台（件）</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29900台（件）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质量指标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检验报告复检率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&lt;</w:t>
            </w:r>
            <w:r>
              <w:rPr>
                <w:rFonts w:hint="eastAsia" w:ascii="宋体" w:hAnsi="宋体" w:eastAsia="宋体" w:cs="宋体"/>
                <w:kern w:val="0"/>
                <w:sz w:val="21"/>
                <w:szCs w:val="21"/>
                <w:highlight w:val="none"/>
                <w:lang w:val="en-US" w:eastAsia="zh-CN"/>
              </w:rPr>
              <w:t>0.1%</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时效指标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检验检测完成时间</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2021年12月31日</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时效指标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交付检验报告时限(水泥)</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≦40天</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时效指标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交付检验报告时限(除水泥外)</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≦25天</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21天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时效指标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检验业务投诉处理时限</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≦15天</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成本指标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项目成本控制金额</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≦660万元</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316.68万元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数量指标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公用经费保障物业管理面积</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≧13761.41</w:t>
            </w:r>
            <w:r>
              <w:rPr>
                <w:rFonts w:hint="eastAsia" w:ascii="宋体" w:hAnsi="宋体" w:eastAsia="宋体" w:cs="宋体"/>
                <w:kern w:val="0"/>
                <w:sz w:val="21"/>
                <w:szCs w:val="21"/>
                <w:highlight w:val="none"/>
                <w:lang w:eastAsia="zh-CN"/>
              </w:rPr>
              <w:t>平方米</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13761.41</w:t>
            </w:r>
            <w:r>
              <w:rPr>
                <w:rFonts w:hint="eastAsia" w:ascii="宋体" w:hAnsi="宋体" w:eastAsia="宋体" w:cs="宋体"/>
                <w:kern w:val="0"/>
                <w:sz w:val="21"/>
                <w:szCs w:val="21"/>
                <w:highlight w:val="no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数量指标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公用经费保障人数</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=39人</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=39人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数量指标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供养离（退）休人员数</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=13人</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数量指标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公用经费保障公务用车数量</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=11辆</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=11辆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0" w:hRule="atLeast"/>
          <w:jc w:val="center"/>
        </w:trPr>
        <w:tc>
          <w:tcPr>
            <w:tcW w:w="1857" w:type="dxa"/>
            <w:vMerge w:val="continue"/>
            <w:tcBorders/>
            <w:vAlign w:val="center"/>
          </w:tcPr>
          <w:p>
            <w:pPr>
              <w:pStyle w:val="12"/>
              <w:numPr>
                <w:ilvl w:val="0"/>
                <w:numId w:val="0"/>
              </w:numPr>
              <w:jc w:val="center"/>
              <w:rPr>
                <w:rFonts w:hint="eastAsia" w:ascii="宋体" w:hAnsi="宋体" w:eastAsia="宋体" w:cs="宋体"/>
                <w:vertAlign w:val="baseline"/>
                <w:lang w:val="en-US" w:eastAsia="zh-CN"/>
              </w:rPr>
            </w:pPr>
          </w:p>
        </w:tc>
        <w:tc>
          <w:tcPr>
            <w:tcW w:w="1857"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eastAsia="zh-CN"/>
              </w:rPr>
              <w:t>数量指标</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rPr>
              <w:t>工资福利发放人数（事业编</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=39人</w:t>
            </w:r>
          </w:p>
        </w:tc>
        <w:tc>
          <w:tcPr>
            <w:tcW w:w="1858" w:type="dxa"/>
            <w:vAlign w:val="center"/>
          </w:tcPr>
          <w:p>
            <w:pPr>
              <w:widowControl/>
              <w:snapToGrid w:val="0"/>
              <w:jc w:val="center"/>
              <w:rPr>
                <w:rFonts w:hint="eastAsia" w:ascii="宋体" w:hAnsi="宋体" w:eastAsia="宋体" w:cs="宋体"/>
                <w:vertAlign w:val="baseline"/>
                <w:lang w:val="en-US" w:eastAsia="zh-CN"/>
              </w:rPr>
            </w:pPr>
            <w:r>
              <w:rPr>
                <w:rFonts w:hint="eastAsia" w:ascii="宋体" w:hAnsi="宋体" w:eastAsia="宋体" w:cs="宋体"/>
                <w:kern w:val="0"/>
                <w:sz w:val="21"/>
                <w:szCs w:val="21"/>
                <w:highlight w:val="none"/>
                <w:lang w:val="en-US" w:eastAsia="zh-CN"/>
              </w:rPr>
              <w:t>=39人</w:t>
            </w:r>
          </w:p>
        </w:tc>
      </w:tr>
    </w:tbl>
    <w:p>
      <w:pPr>
        <w:pStyle w:val="12"/>
        <w:numPr>
          <w:ilvl w:val="0"/>
          <w:numId w:val="0"/>
        </w:numPr>
        <w:rPr>
          <w:rFonts w:hint="eastAsia"/>
          <w:lang w:val="en-US" w:eastAsia="zh-CN"/>
        </w:rPr>
      </w:pPr>
    </w:p>
    <w:p>
      <w:pPr>
        <w:pStyle w:val="10"/>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rPr>
      </w:pPr>
      <w:r>
        <w:rPr>
          <w:rFonts w:hint="eastAsia" w:ascii="方正仿宋_GBK" w:hAnsi="方正仿宋_GBK" w:eastAsia="方正仿宋_GBK" w:cs="方正仿宋_GBK"/>
          <w:kern w:val="2"/>
          <w:sz w:val="32"/>
          <w:szCs w:val="32"/>
          <w:lang w:val="en-US" w:eastAsia="zh-CN" w:bidi="ar-SA"/>
        </w:rPr>
        <w:t>2021年保山市质量技术监督综合检测中心实施监督检验和定期检验特种设备12662台（件）</w:t>
      </w:r>
      <w:r>
        <w:rPr>
          <w:rFonts w:hint="eastAsia" w:ascii="方正仿宋_GBK" w:hAnsi="方正仿宋_GBK" w:eastAsia="方正仿宋_GBK" w:cs="方正仿宋_GBK"/>
          <w:color w:val="auto"/>
          <w:kern w:val="2"/>
          <w:sz w:val="32"/>
          <w:szCs w:val="32"/>
          <w:lang w:val="en-US" w:eastAsia="zh-CN" w:bidi="ar-SA"/>
        </w:rPr>
        <w:t>（其中：电梯5277台（件）、场内机动车418辆、起重机587台（件）、锅炉384台（件）、压力容器834台（件）、油罐车75辆、安全阀5075只、压力管道12条）；计量强制检定数量41187台（件）；计</w:t>
      </w:r>
      <w:r>
        <w:rPr>
          <w:rFonts w:hint="eastAsia" w:ascii="方正仿宋_GBK" w:hAnsi="方正仿宋_GBK" w:eastAsia="方正仿宋_GBK" w:cs="方正仿宋_GBK"/>
          <w:kern w:val="2"/>
          <w:sz w:val="32"/>
          <w:szCs w:val="32"/>
          <w:lang w:val="en-US" w:eastAsia="zh-CN" w:bidi="ar-SA"/>
        </w:rPr>
        <w:t>量器具检校29900台（件），产品质量检验10697批次。由于疫情及报检的不确定性，我中心较好的完成了2021年各项目绩效目标。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（四）效果情况分析</w:t>
      </w:r>
    </w:p>
    <w:p>
      <w:pPr>
        <w:pStyle w:val="10"/>
        <w:numPr>
          <w:ilvl w:val="0"/>
          <w:numId w:val="0"/>
        </w:numPr>
        <w:ind w:leftChars="200"/>
        <w:rPr>
          <w:rFonts w:hint="eastAsia"/>
          <w:lang w:val="en-US" w:eastAsia="zh-CN"/>
        </w:rPr>
      </w:pPr>
    </w:p>
    <w:tbl>
      <w:tblPr>
        <w:tblStyle w:val="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2" w:type="dxa"/>
            <w:vAlign w:val="center"/>
          </w:tcPr>
          <w:p>
            <w:pPr>
              <w:jc w:val="center"/>
              <w:rPr>
                <w:rFonts w:hint="default"/>
                <w:vertAlign w:val="baseline"/>
                <w:lang w:val="en-US" w:eastAsia="zh-CN"/>
              </w:rPr>
            </w:pPr>
            <w:r>
              <w:rPr>
                <w:rFonts w:hint="eastAsia" w:ascii="宋体" w:hAnsi="宋体" w:eastAsia="仿宋_GB2312" w:cs="仿宋_GB2312"/>
                <w:kern w:val="0"/>
                <w:sz w:val="21"/>
                <w:szCs w:val="21"/>
                <w:highlight w:val="none"/>
              </w:rPr>
              <w:t>一级指标</w:t>
            </w:r>
          </w:p>
        </w:tc>
        <w:tc>
          <w:tcPr>
            <w:tcW w:w="1812" w:type="dxa"/>
            <w:vAlign w:val="center"/>
          </w:tcPr>
          <w:p>
            <w:pPr>
              <w:widowControl/>
              <w:jc w:val="center"/>
              <w:rPr>
                <w:rFonts w:hint="default"/>
                <w:vertAlign w:val="baseline"/>
                <w:lang w:val="en-US" w:eastAsia="zh-CN"/>
              </w:rPr>
            </w:pPr>
            <w:r>
              <w:rPr>
                <w:rFonts w:hint="eastAsia" w:ascii="宋体" w:hAnsi="宋体" w:eastAsia="仿宋_GB2312" w:cs="仿宋_GB2312"/>
                <w:kern w:val="0"/>
                <w:sz w:val="21"/>
                <w:szCs w:val="21"/>
                <w:highlight w:val="none"/>
              </w:rPr>
              <w:t>二级指标</w:t>
            </w:r>
          </w:p>
        </w:tc>
        <w:tc>
          <w:tcPr>
            <w:tcW w:w="1812" w:type="dxa"/>
            <w:vAlign w:val="center"/>
          </w:tcPr>
          <w:p>
            <w:pPr>
              <w:widowControl/>
              <w:jc w:val="center"/>
              <w:rPr>
                <w:rFonts w:hint="default"/>
                <w:vertAlign w:val="baseline"/>
                <w:lang w:val="en-US" w:eastAsia="zh-CN"/>
              </w:rPr>
            </w:pPr>
            <w:r>
              <w:rPr>
                <w:rFonts w:hint="eastAsia" w:ascii="宋体" w:hAnsi="宋体" w:eastAsia="仿宋_GB2312" w:cs="仿宋_GB2312"/>
                <w:kern w:val="0"/>
                <w:sz w:val="21"/>
                <w:szCs w:val="21"/>
                <w:highlight w:val="none"/>
              </w:rPr>
              <w:t>三级指标</w:t>
            </w:r>
          </w:p>
        </w:tc>
        <w:tc>
          <w:tcPr>
            <w:tcW w:w="1812" w:type="dxa"/>
            <w:vAlign w:val="center"/>
          </w:tcPr>
          <w:p>
            <w:pPr>
              <w:widowControl/>
              <w:jc w:val="center"/>
              <w:rPr>
                <w:rFonts w:hint="default"/>
                <w:vertAlign w:val="baseline"/>
                <w:lang w:val="en-US" w:eastAsia="zh-CN"/>
              </w:rPr>
            </w:pPr>
            <w:r>
              <w:rPr>
                <w:rFonts w:hint="eastAsia" w:ascii="宋体" w:hAnsi="宋体" w:eastAsia="仿宋_GB2312" w:cs="仿宋_GB2312"/>
                <w:kern w:val="0"/>
                <w:sz w:val="21"/>
                <w:szCs w:val="21"/>
                <w:highlight w:val="none"/>
              </w:rPr>
              <w:t>年初目标值（</w:t>
            </w:r>
            <w:r>
              <w:rPr>
                <w:rFonts w:ascii="宋体" w:hAnsi="宋体" w:eastAsia="仿宋_GB2312" w:cs="仿宋_GB2312"/>
                <w:kern w:val="0"/>
                <w:sz w:val="21"/>
                <w:szCs w:val="21"/>
                <w:highlight w:val="none"/>
              </w:rPr>
              <w:t>A</w:t>
            </w:r>
            <w:r>
              <w:rPr>
                <w:rFonts w:hint="eastAsia" w:ascii="宋体" w:hAnsi="宋体" w:eastAsia="仿宋_GB2312" w:cs="仿宋_GB2312"/>
                <w:kern w:val="0"/>
                <w:sz w:val="21"/>
                <w:szCs w:val="21"/>
                <w:highlight w:val="none"/>
              </w:rPr>
              <w:t>）</w:t>
            </w:r>
          </w:p>
        </w:tc>
        <w:tc>
          <w:tcPr>
            <w:tcW w:w="1813" w:type="dxa"/>
            <w:vAlign w:val="center"/>
          </w:tcPr>
          <w:p>
            <w:pPr>
              <w:widowControl/>
              <w:jc w:val="center"/>
              <w:rPr>
                <w:rFonts w:hint="default"/>
                <w:vertAlign w:val="baseline"/>
                <w:lang w:val="en-US" w:eastAsia="zh-CN"/>
              </w:rPr>
            </w:pPr>
            <w:r>
              <w:rPr>
                <w:rFonts w:hint="eastAsia" w:ascii="宋体" w:hAnsi="宋体" w:eastAsia="仿宋_GB2312" w:cs="仿宋_GB2312"/>
                <w:kern w:val="0"/>
                <w:sz w:val="21"/>
                <w:szCs w:val="21"/>
                <w:highlight w:val="none"/>
              </w:rPr>
              <w:t>实际完成值（</w:t>
            </w:r>
            <w:r>
              <w:rPr>
                <w:rFonts w:ascii="宋体" w:hAnsi="宋体" w:eastAsia="仿宋_GB2312" w:cs="仿宋_GB2312"/>
                <w:kern w:val="0"/>
                <w:sz w:val="21"/>
                <w:szCs w:val="21"/>
                <w:highlight w:val="none"/>
              </w:rPr>
              <w:t>B</w:t>
            </w:r>
            <w:r>
              <w:rPr>
                <w:rFonts w:hint="eastAsia" w:ascii="宋体" w:hAnsi="宋体" w:eastAsia="仿宋_GB2312" w:cs="仿宋_GB2312"/>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2" w:type="dxa"/>
            <w:vMerge w:val="restart"/>
            <w:vAlign w:val="center"/>
          </w:tcPr>
          <w:p>
            <w:pPr>
              <w:pStyle w:val="10"/>
              <w:numPr>
                <w:ilvl w:val="0"/>
                <w:numId w:val="0"/>
              </w:numPr>
              <w:jc w:val="center"/>
              <w:rPr>
                <w:rFonts w:hint="default"/>
                <w:vertAlign w:val="baseline"/>
                <w:lang w:val="en-US" w:eastAsia="zh-CN"/>
              </w:rPr>
            </w:pPr>
            <w:r>
              <w:rPr>
                <w:rFonts w:hint="eastAsia" w:ascii="宋体" w:hAnsi="宋体" w:eastAsia="仿宋_GB2312" w:cs="仿宋_GB2312"/>
                <w:kern w:val="0"/>
                <w:sz w:val="21"/>
                <w:szCs w:val="21"/>
                <w:highlight w:val="none"/>
              </w:rPr>
              <w:t>效益指标</w:t>
            </w:r>
          </w:p>
        </w:tc>
        <w:tc>
          <w:tcPr>
            <w:tcW w:w="1812" w:type="dxa"/>
            <w:vAlign w:val="center"/>
          </w:tcPr>
          <w:p>
            <w:pPr>
              <w:widowControl/>
              <w:snapToGrid w:val="0"/>
              <w:jc w:val="center"/>
              <w:rPr>
                <w:rFonts w:hint="default"/>
                <w:vertAlign w:val="baseline"/>
                <w:lang w:val="en-US" w:eastAsia="zh-CN"/>
              </w:rPr>
            </w:pPr>
            <w:r>
              <w:rPr>
                <w:rFonts w:hint="eastAsia" w:ascii="宋体" w:hAnsi="宋体" w:eastAsia="仿宋_GB2312" w:cs="Times New Roman"/>
                <w:kern w:val="0"/>
                <w:sz w:val="21"/>
                <w:szCs w:val="21"/>
                <w:highlight w:val="none"/>
                <w:lang w:eastAsia="zh-CN"/>
              </w:rPr>
              <w:t>社会效益指标</w:t>
            </w:r>
          </w:p>
        </w:tc>
        <w:tc>
          <w:tcPr>
            <w:tcW w:w="1812" w:type="dxa"/>
            <w:vAlign w:val="center"/>
          </w:tcPr>
          <w:p>
            <w:pPr>
              <w:widowControl/>
              <w:snapToGrid w:val="0"/>
              <w:jc w:val="center"/>
              <w:rPr>
                <w:rFonts w:hint="default"/>
                <w:vertAlign w:val="baseline"/>
                <w:lang w:val="en-US" w:eastAsia="zh-CN"/>
              </w:rPr>
            </w:pPr>
            <w:r>
              <w:rPr>
                <w:rFonts w:hint="eastAsia" w:ascii="宋体" w:hAnsi="宋体" w:eastAsia="仿宋_GB2312" w:cs="Times New Roman"/>
                <w:kern w:val="0"/>
                <w:sz w:val="21"/>
                <w:szCs w:val="21"/>
                <w:highlight w:val="none"/>
              </w:rPr>
              <w:t>维护人民群众健康权益</w:t>
            </w:r>
          </w:p>
        </w:tc>
        <w:tc>
          <w:tcPr>
            <w:tcW w:w="1812" w:type="dxa"/>
            <w:vAlign w:val="center"/>
          </w:tcPr>
          <w:p>
            <w:pPr>
              <w:widowControl/>
              <w:snapToGrid w:val="0"/>
              <w:jc w:val="center"/>
              <w:rPr>
                <w:rFonts w:hint="default"/>
                <w:vertAlign w:val="baseline"/>
                <w:lang w:val="en-US" w:eastAsia="zh-CN"/>
              </w:rPr>
            </w:pPr>
            <w:r>
              <w:rPr>
                <w:rFonts w:hint="eastAsia" w:ascii="宋体" w:hAnsi="宋体" w:eastAsia="仿宋_GB2312" w:cs="Times New Roman"/>
                <w:kern w:val="0"/>
                <w:sz w:val="21"/>
                <w:szCs w:val="21"/>
                <w:highlight w:val="none"/>
                <w:lang w:val="en-US" w:eastAsia="zh-CN"/>
              </w:rPr>
              <w:t>=效益明显</w:t>
            </w:r>
          </w:p>
        </w:tc>
        <w:tc>
          <w:tcPr>
            <w:tcW w:w="1813" w:type="dxa"/>
            <w:vAlign w:val="center"/>
          </w:tcPr>
          <w:p>
            <w:pPr>
              <w:widowControl/>
              <w:snapToGrid w:val="0"/>
              <w:jc w:val="center"/>
              <w:rPr>
                <w:rFonts w:hint="default"/>
                <w:vertAlign w:val="baseline"/>
                <w:lang w:val="en-US" w:eastAsia="zh-CN"/>
              </w:rPr>
            </w:pPr>
            <w:r>
              <w:rPr>
                <w:rFonts w:hint="eastAsia" w:ascii="宋体" w:hAnsi="宋体" w:eastAsia="仿宋_GB2312" w:cs="Times New Roman"/>
                <w:kern w:val="0"/>
                <w:sz w:val="21"/>
                <w:szCs w:val="21"/>
                <w:highlight w:val="none"/>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2" w:type="dxa"/>
            <w:vMerge w:val="continue"/>
            <w:vAlign w:val="center"/>
          </w:tcPr>
          <w:p>
            <w:pPr>
              <w:pStyle w:val="10"/>
              <w:numPr>
                <w:ilvl w:val="0"/>
                <w:numId w:val="0"/>
              </w:numPr>
              <w:jc w:val="center"/>
              <w:rPr>
                <w:rFonts w:hint="default"/>
                <w:vertAlign w:val="baseline"/>
                <w:lang w:val="en-US" w:eastAsia="zh-CN"/>
              </w:rPr>
            </w:pP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lang w:eastAsia="zh-CN"/>
              </w:rPr>
              <w:t>社会效益指标</w:t>
            </w:r>
          </w:p>
        </w:tc>
        <w:tc>
          <w:tcPr>
            <w:tcW w:w="1812" w:type="dxa"/>
            <w:vAlign w:val="center"/>
          </w:tcPr>
          <w:p>
            <w:pPr>
              <w:widowControl/>
              <w:snapToGrid w:val="0"/>
              <w:jc w:val="center"/>
              <w:rPr>
                <w:rFonts w:hint="eastAsia" w:ascii="宋体" w:hAnsi="宋体" w:eastAsia="仿宋_GB2312" w:cs="Times New Roman"/>
                <w:kern w:val="0"/>
                <w:sz w:val="21"/>
                <w:szCs w:val="21"/>
                <w:highlight w:val="none"/>
              </w:rPr>
            </w:pPr>
            <w:r>
              <w:rPr>
                <w:rFonts w:hint="eastAsia" w:ascii="宋体" w:hAnsi="宋体" w:eastAsia="仿宋_GB2312" w:cs="Times New Roman"/>
                <w:kern w:val="0"/>
                <w:sz w:val="21"/>
                <w:szCs w:val="21"/>
                <w:highlight w:val="none"/>
              </w:rPr>
              <w:t>进一 步推动计量监管工作发展</w:t>
            </w:r>
          </w:p>
        </w:tc>
        <w:tc>
          <w:tcPr>
            <w:tcW w:w="1812" w:type="dxa"/>
            <w:vAlign w:val="center"/>
          </w:tcPr>
          <w:p>
            <w:pPr>
              <w:widowControl/>
              <w:snapToGrid w:val="0"/>
              <w:jc w:val="center"/>
              <w:rPr>
                <w:rFonts w:hint="eastAsia" w:ascii="宋体" w:hAnsi="宋体" w:eastAsia="仿宋_GB2312" w:cs="Times New Roman"/>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=效益明显</w:t>
            </w:r>
          </w:p>
        </w:tc>
        <w:tc>
          <w:tcPr>
            <w:tcW w:w="1813" w:type="dxa"/>
            <w:vAlign w:val="center"/>
          </w:tcPr>
          <w:p>
            <w:pPr>
              <w:widowControl/>
              <w:snapToGrid w:val="0"/>
              <w:jc w:val="center"/>
              <w:rPr>
                <w:rFonts w:hint="eastAsia" w:ascii="宋体" w:hAnsi="宋体" w:eastAsia="仿宋_GB2312" w:cs="Times New Roman"/>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2" w:type="dxa"/>
            <w:vMerge w:val="continue"/>
            <w:vAlign w:val="center"/>
          </w:tcPr>
          <w:p>
            <w:pPr>
              <w:pStyle w:val="10"/>
              <w:numPr>
                <w:ilvl w:val="0"/>
                <w:numId w:val="0"/>
              </w:numPr>
              <w:jc w:val="center"/>
              <w:rPr>
                <w:rFonts w:hint="default"/>
                <w:vertAlign w:val="baseline"/>
                <w:lang w:val="en-US" w:eastAsia="zh-CN"/>
              </w:rPr>
            </w:pP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lang w:eastAsia="zh-CN"/>
              </w:rPr>
              <w:t>经济效益指标</w:t>
            </w:r>
          </w:p>
        </w:tc>
        <w:tc>
          <w:tcPr>
            <w:tcW w:w="1812" w:type="dxa"/>
            <w:vAlign w:val="center"/>
          </w:tcPr>
          <w:p>
            <w:pPr>
              <w:widowControl/>
              <w:snapToGrid w:val="0"/>
              <w:jc w:val="center"/>
              <w:rPr>
                <w:rFonts w:hint="eastAsia" w:ascii="宋体" w:hAnsi="宋体" w:eastAsia="仿宋_GB2312" w:cs="Times New Roman"/>
                <w:kern w:val="0"/>
                <w:sz w:val="21"/>
                <w:szCs w:val="21"/>
                <w:highlight w:val="none"/>
              </w:rPr>
            </w:pPr>
            <w:r>
              <w:rPr>
                <w:rFonts w:hint="eastAsia" w:ascii="宋体" w:hAnsi="宋体" w:eastAsia="仿宋_GB2312" w:cs="Times New Roman"/>
                <w:kern w:val="0"/>
                <w:sz w:val="21"/>
                <w:szCs w:val="21"/>
                <w:highlight w:val="none"/>
                <w:lang w:eastAsia="zh-CN"/>
              </w:rPr>
              <w:t>非税收入完成额</w:t>
            </w:r>
          </w:p>
        </w:tc>
        <w:tc>
          <w:tcPr>
            <w:tcW w:w="1812" w:type="dxa"/>
            <w:vAlign w:val="center"/>
          </w:tcPr>
          <w:p>
            <w:pPr>
              <w:widowControl/>
              <w:snapToGrid w:val="0"/>
              <w:jc w:val="center"/>
              <w:rPr>
                <w:rFonts w:hint="eastAsia" w:ascii="宋体" w:hAnsi="宋体" w:eastAsia="仿宋_GB2312" w:cs="Times New Roman"/>
                <w:kern w:val="0"/>
                <w:sz w:val="21"/>
                <w:szCs w:val="21"/>
                <w:highlight w:val="none"/>
                <w:lang w:val="en-US" w:eastAsia="zh-CN"/>
              </w:rPr>
            </w:pPr>
            <w:r>
              <w:rPr>
                <w:rFonts w:hint="eastAsia" w:ascii="宋体" w:hAnsi="宋体" w:eastAsia="宋体" w:cs="宋体"/>
                <w:kern w:val="0"/>
                <w:sz w:val="21"/>
                <w:szCs w:val="21"/>
                <w:highlight w:val="none"/>
                <w:lang w:val="en-US" w:eastAsia="zh-CN"/>
              </w:rPr>
              <w:t>≧</w:t>
            </w:r>
            <w:r>
              <w:rPr>
                <w:rFonts w:hint="eastAsia" w:ascii="宋体" w:hAnsi="宋体" w:eastAsia="仿宋_GB2312" w:cs="Times New Roman"/>
                <w:kern w:val="0"/>
                <w:sz w:val="21"/>
                <w:szCs w:val="21"/>
                <w:highlight w:val="none"/>
                <w:lang w:val="en-US" w:eastAsia="zh-CN"/>
              </w:rPr>
              <w:t>500万元</w:t>
            </w:r>
          </w:p>
        </w:tc>
        <w:tc>
          <w:tcPr>
            <w:tcW w:w="1813" w:type="dxa"/>
            <w:vAlign w:val="center"/>
          </w:tcPr>
          <w:p>
            <w:pPr>
              <w:widowControl/>
              <w:snapToGrid w:val="0"/>
              <w:jc w:val="center"/>
              <w:rPr>
                <w:rFonts w:hint="eastAsia" w:ascii="宋体" w:hAnsi="宋体" w:eastAsia="仿宋_GB2312" w:cs="Times New Roman"/>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565.72万元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2" w:type="dxa"/>
            <w:vMerge w:val="continue"/>
            <w:vAlign w:val="center"/>
          </w:tcPr>
          <w:p>
            <w:pPr>
              <w:pStyle w:val="10"/>
              <w:numPr>
                <w:ilvl w:val="0"/>
                <w:numId w:val="0"/>
              </w:numPr>
              <w:jc w:val="center"/>
              <w:rPr>
                <w:rFonts w:hint="default"/>
                <w:vertAlign w:val="baseline"/>
                <w:lang w:val="en-US" w:eastAsia="zh-CN"/>
              </w:rPr>
            </w:pP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lang w:eastAsia="zh-CN"/>
              </w:rPr>
              <w:t>社会效益指标</w:t>
            </w: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rPr>
              <w:t>保障当地特种设备安全，提供检验检测服务。</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eastAsia="仿宋_GB2312" w:cs="Times New Roman"/>
                <w:kern w:val="0"/>
                <w:sz w:val="21"/>
                <w:szCs w:val="21"/>
                <w:highlight w:val="none"/>
                <w:lang w:eastAsia="zh-CN"/>
              </w:rPr>
              <w:t>效果显著</w:t>
            </w:r>
          </w:p>
        </w:tc>
        <w:tc>
          <w:tcPr>
            <w:tcW w:w="1813" w:type="dxa"/>
            <w:vAlign w:val="center"/>
          </w:tcPr>
          <w:p>
            <w:pPr>
              <w:widowControl/>
              <w:snapToGrid w:val="0"/>
              <w:jc w:val="center"/>
              <w:rPr>
                <w:rFonts w:hint="eastAsia" w:ascii="宋体" w:hAnsi="宋体" w:eastAsia="仿宋_GB2312" w:cs="Times New Roman"/>
                <w:kern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eastAsia="仿宋_GB2312" w:cs="Times New Roman"/>
                <w:kern w:val="0"/>
                <w:sz w:val="21"/>
                <w:szCs w:val="21"/>
                <w:highlight w:val="none"/>
                <w:lang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2" w:type="dxa"/>
            <w:vMerge w:val="continue"/>
            <w:vAlign w:val="center"/>
          </w:tcPr>
          <w:p>
            <w:pPr>
              <w:pStyle w:val="10"/>
              <w:numPr>
                <w:ilvl w:val="0"/>
                <w:numId w:val="0"/>
              </w:numPr>
              <w:jc w:val="center"/>
              <w:rPr>
                <w:rFonts w:hint="default"/>
                <w:vertAlign w:val="baseline"/>
                <w:lang w:val="en-US" w:eastAsia="zh-CN"/>
              </w:rPr>
            </w:pP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lang w:eastAsia="zh-CN"/>
              </w:rPr>
              <w:t>经济效益指标</w:t>
            </w: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rPr>
              <w:t>经营性收入完成额</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r>
              <w:rPr>
                <w:rFonts w:hint="eastAsia" w:ascii="宋体" w:hAnsi="宋体" w:eastAsia="仿宋_GB2312" w:cs="Times New Roman"/>
                <w:kern w:val="0"/>
                <w:sz w:val="21"/>
                <w:szCs w:val="21"/>
                <w:highlight w:val="none"/>
                <w:lang w:val="en-US" w:eastAsia="zh-CN"/>
              </w:rPr>
              <w:t>1100万元</w:t>
            </w:r>
          </w:p>
        </w:tc>
        <w:tc>
          <w:tcPr>
            <w:tcW w:w="1813" w:type="dxa"/>
            <w:vAlign w:val="center"/>
          </w:tcPr>
          <w:p>
            <w:pPr>
              <w:widowControl/>
              <w:snapToGrid w:val="0"/>
              <w:jc w:val="center"/>
              <w:rPr>
                <w:rFonts w:hint="eastAsia" w:ascii="宋体" w:hAnsi="宋体" w:eastAsia="仿宋_GB2312" w:cs="Times New Roman"/>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1198.83万元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2" w:type="dxa"/>
            <w:vMerge w:val="continue"/>
            <w:vAlign w:val="center"/>
          </w:tcPr>
          <w:p>
            <w:pPr>
              <w:pStyle w:val="10"/>
              <w:numPr>
                <w:ilvl w:val="0"/>
                <w:numId w:val="0"/>
              </w:numPr>
              <w:jc w:val="center"/>
              <w:rPr>
                <w:rFonts w:hint="default"/>
                <w:vertAlign w:val="baseline"/>
                <w:lang w:val="en-US" w:eastAsia="zh-CN"/>
              </w:rPr>
            </w:pP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lang w:eastAsia="zh-CN"/>
              </w:rPr>
              <w:t>社会效益指标</w:t>
            </w: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rPr>
              <w:t>提升我市产品质量，打造保山市地方特色的产品品牌，有效帮助企业树立品牌形象，促进特色产业发展,提供检验检测技术支持。</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=效果明显</w:t>
            </w:r>
          </w:p>
        </w:tc>
        <w:tc>
          <w:tcPr>
            <w:tcW w:w="1813" w:type="dxa"/>
            <w:vAlign w:val="center"/>
          </w:tcPr>
          <w:p>
            <w:pPr>
              <w:widowControl/>
              <w:snapToGrid w:val="0"/>
              <w:jc w:val="center"/>
              <w:rPr>
                <w:rFonts w:hint="eastAsia" w:ascii="宋体" w:hAnsi="宋体" w:eastAsia="仿宋_GB2312" w:cs="Times New Roman"/>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2" w:type="dxa"/>
            <w:vMerge w:val="continue"/>
            <w:vAlign w:val="center"/>
          </w:tcPr>
          <w:p>
            <w:pPr>
              <w:pStyle w:val="10"/>
              <w:numPr>
                <w:ilvl w:val="0"/>
                <w:numId w:val="0"/>
              </w:numPr>
              <w:jc w:val="center"/>
              <w:rPr>
                <w:rFonts w:hint="default"/>
                <w:vertAlign w:val="baseline"/>
                <w:lang w:val="en-US" w:eastAsia="zh-CN"/>
              </w:rPr>
            </w:pP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lang w:eastAsia="zh-CN"/>
              </w:rPr>
              <w:t>社会效益指标</w:t>
            </w: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rPr>
              <w:t>为保障当地食品安全、产品质量安全提供检验检测技术服务。</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=效果明显</w:t>
            </w:r>
          </w:p>
        </w:tc>
        <w:tc>
          <w:tcPr>
            <w:tcW w:w="1813" w:type="dxa"/>
            <w:vAlign w:val="center"/>
          </w:tcPr>
          <w:p>
            <w:pPr>
              <w:widowControl/>
              <w:snapToGrid w:val="0"/>
              <w:jc w:val="center"/>
              <w:rPr>
                <w:rFonts w:hint="eastAsia" w:ascii="宋体" w:hAnsi="宋体" w:eastAsia="仿宋_GB2312" w:cs="Times New Roman"/>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2" w:type="dxa"/>
            <w:vMerge w:val="continue"/>
            <w:vAlign w:val="center"/>
          </w:tcPr>
          <w:p>
            <w:pPr>
              <w:pStyle w:val="10"/>
              <w:numPr>
                <w:ilvl w:val="0"/>
                <w:numId w:val="0"/>
              </w:numPr>
              <w:jc w:val="center"/>
              <w:rPr>
                <w:rFonts w:hint="default"/>
                <w:vertAlign w:val="baseline"/>
                <w:lang w:val="en-US" w:eastAsia="zh-CN"/>
              </w:rPr>
            </w:pP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lang w:eastAsia="zh-CN"/>
              </w:rPr>
              <w:t>社会效益指标</w:t>
            </w: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rPr>
              <w:t>“三公经费”控制情况</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=只减不增</w:t>
            </w:r>
          </w:p>
        </w:tc>
        <w:tc>
          <w:tcPr>
            <w:tcW w:w="1813" w:type="dxa"/>
            <w:vAlign w:val="center"/>
          </w:tcPr>
          <w:p>
            <w:pPr>
              <w:widowControl/>
              <w:snapToGrid w:val="0"/>
              <w:jc w:val="center"/>
              <w:rPr>
                <w:rFonts w:hint="eastAsia" w:ascii="宋体" w:hAnsi="宋体" w:eastAsia="仿宋_GB2312" w:cs="Times New Roman"/>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=只减不增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2" w:type="dxa"/>
            <w:vMerge w:val="continue"/>
            <w:vAlign w:val="center"/>
          </w:tcPr>
          <w:p>
            <w:pPr>
              <w:pStyle w:val="10"/>
              <w:numPr>
                <w:ilvl w:val="0"/>
                <w:numId w:val="0"/>
              </w:numPr>
              <w:jc w:val="center"/>
              <w:rPr>
                <w:rFonts w:hint="default"/>
                <w:vertAlign w:val="baseline"/>
                <w:lang w:val="en-US" w:eastAsia="zh-CN"/>
              </w:rPr>
            </w:pP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lang w:eastAsia="zh-CN"/>
              </w:rPr>
              <w:t>社会效益指标</w:t>
            </w:r>
          </w:p>
        </w:tc>
        <w:tc>
          <w:tcPr>
            <w:tcW w:w="1812" w:type="dxa"/>
            <w:vAlign w:val="center"/>
          </w:tcPr>
          <w:p>
            <w:pPr>
              <w:widowControl/>
              <w:snapToGrid w:val="0"/>
              <w:jc w:val="center"/>
              <w:rPr>
                <w:rFonts w:hint="eastAsia" w:ascii="宋体" w:hAnsi="宋体" w:eastAsia="仿宋_GB2312" w:cs="Times New Roman"/>
                <w:kern w:val="0"/>
                <w:sz w:val="21"/>
                <w:szCs w:val="21"/>
                <w:highlight w:val="none"/>
                <w:lang w:eastAsia="zh-CN"/>
              </w:rPr>
            </w:pPr>
            <w:r>
              <w:rPr>
                <w:rFonts w:hint="eastAsia" w:ascii="宋体" w:hAnsi="宋体" w:eastAsia="仿宋_GB2312" w:cs="Times New Roman"/>
                <w:kern w:val="0"/>
                <w:sz w:val="21"/>
                <w:szCs w:val="21"/>
                <w:highlight w:val="none"/>
              </w:rPr>
              <w:t>部门运转</w:t>
            </w:r>
          </w:p>
        </w:tc>
        <w:tc>
          <w:tcPr>
            <w:tcW w:w="1812" w:type="dxa"/>
            <w:vAlign w:val="center"/>
          </w:tcPr>
          <w:p>
            <w:pPr>
              <w:widowControl/>
              <w:snapToGrid w:val="0"/>
              <w:jc w:val="center"/>
              <w:rPr>
                <w:rFonts w:hint="eastAsia" w:ascii="宋体" w:hAnsi="宋体" w:eastAsia="宋体" w:cs="宋体"/>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=正常运转</w:t>
            </w:r>
          </w:p>
        </w:tc>
        <w:tc>
          <w:tcPr>
            <w:tcW w:w="1813" w:type="dxa"/>
            <w:vAlign w:val="center"/>
          </w:tcPr>
          <w:p>
            <w:pPr>
              <w:widowControl/>
              <w:snapToGrid w:val="0"/>
              <w:jc w:val="center"/>
              <w:rPr>
                <w:rFonts w:hint="eastAsia" w:ascii="宋体" w:hAnsi="宋体" w:eastAsia="仿宋_GB2312" w:cs="Times New Roman"/>
                <w:kern w:val="0"/>
                <w:sz w:val="21"/>
                <w:szCs w:val="21"/>
                <w:highlight w:val="none"/>
                <w:lang w:val="en-US" w:eastAsia="zh-CN"/>
              </w:rPr>
            </w:pPr>
            <w:r>
              <w:rPr>
                <w:rFonts w:hint="eastAsia" w:ascii="宋体" w:hAnsi="宋体" w:eastAsia="仿宋_GB2312" w:cs="Times New Roman"/>
                <w:kern w:val="0"/>
                <w:sz w:val="21"/>
                <w:szCs w:val="21"/>
                <w:highlight w:val="none"/>
                <w:lang w:val="en-US" w:eastAsia="zh-CN"/>
              </w:rPr>
              <w:t>=正常运转</w:t>
            </w:r>
          </w:p>
        </w:tc>
      </w:tr>
    </w:tbl>
    <w:p>
      <w:pPr>
        <w:pStyle w:val="10"/>
        <w:numPr>
          <w:ilvl w:val="0"/>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1、基本支出经费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主要使本部门人员、公用经费得以保障，干部职工各项待遇得以落实，各相关部门得以正常履职。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2、项目支出经费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（1）经营性成本返还经费项目的实施，可着力提升全市产品质量, 打造保山市特色产品品牌，帮助企业树立品牌形象；有效促进和加快保山特色经济发展, 提高企业和农户的经济收益；有效保护当地特色产业，助推当地区域经济发展；确保产品质量的可靠性，有效维护广大消费者的合法权益；助推产业发展，有效提供行政执法监督技术保障。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（2）计量强检与基础建设经费项目的实施，能够逐步提高计量器具强制检定覆盖率，解决应检末检、漏检等情况，使强制检定计量器具受检率稳步提升。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color w:val="auto"/>
          <w:lang w:val="en-US" w:eastAsia="zh-CN"/>
        </w:rPr>
      </w:pPr>
      <w:r>
        <w:rPr>
          <w:rFonts w:hint="eastAsia" w:ascii="方正仿宋_GBK" w:hAnsi="方正仿宋_GBK" w:eastAsia="方正仿宋_GBK" w:cs="方正仿宋_GBK"/>
          <w:sz w:val="32"/>
          <w:szCs w:val="32"/>
          <w:lang w:val="en-US" w:eastAsia="zh-CN"/>
        </w:rPr>
        <w:t>（3）特种设备监督检验成本补助经费项目的实施，充分发挥了特种设备检验机构技术指导、管理支撑功能。并立足检验检测技术职能，统筹推进特种设备检验检测工作日常检验全面、精准开展；重点抓好保障性检验，为保山“两区一地”建设项目、重点企业的特种设备安全保驾护航。</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四、存在的问题和整改情况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在预算项目绩效指标编制过程中，保山市质量技术监督综合检测中心存在绩效指标设立不够细化、量化度不够的情况，部分绩效指标不清晰、可衡量性差。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针对上述问题，在今后的预算绩效目标申报过程中，我中心将根据项目实施部门工作任务实际，将其细化到具体的绩效指标中，并尽量采取定量的方式制定清晰、可衡量的绩效指标，确保预算编制的合理性、严谨性。</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绩效自评结果应用</w:t>
      </w:r>
    </w:p>
    <w:p>
      <w:pPr>
        <w:pStyle w:val="12"/>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kern w:val="2"/>
          <w:sz w:val="32"/>
          <w:szCs w:val="32"/>
          <w:lang w:val="en-US" w:eastAsia="zh-CN" w:bidi="ar-SA"/>
        </w:rPr>
        <w:t>我中心将对绩效自评结果进行整理、归纳、分析，针对本部门绩效自评中存在的问题，通过充分应用自评结果，并将其作为下年预算编制的重要参考依据，不断提升预算编制和财务管理水平，提高项目资金使用效益，从而进一步健全完善单位内控机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主要经验及做法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组织领导到位。成立了由中心主任为组长、分管财务副主任为副组长，中心各部（所）负责人为成员，领导小组办公室下设计划财务部，由财务部负责人担任办公室主任的绩效自评领导小组。领导小组主要负责收集、通报上年预算项目绩效指标完成情况，听取项目实施相关部（所）针对该项目实施过程中完成绩效指标存在的问题、原因及建议，查找出预算项目执行过程中的不足，以便为以后年度预算编制打下良好基础，切实提高预算编制的准确性、合理性。</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2、制定绩效自评计划。根据单位三年总体目标及当年预算目标合理制定项目绩效自评计划，对项目预算资金进行绩效跟踪，扎实开展预算绩效自评工作。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3、规范项目管理。严格按照财经法律、法规规定，确保专项经费严格实行项目管理、专项核算、专款专用，切实保障项目顺利实施。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4、健全制度，规范管理。认真执行单位内部控制制度，细化预算编制，为部门预算管理发挥实质性效果提供制度保障。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其他需说明的情</w:t>
      </w:r>
      <w:r>
        <w:rPr>
          <w:rFonts w:hint="eastAsia" w:ascii="方正黑体_GBK" w:hAnsi="方正黑体_GBK" w:eastAsia="方正黑体_GBK" w:cs="方正黑体_GBK"/>
          <w:sz w:val="32"/>
          <w:szCs w:val="32"/>
          <w:lang w:eastAsia="zh-CN"/>
        </w:rPr>
        <w:t>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sectPr>
      <w:headerReference r:id="rId3" w:type="default"/>
      <w:footerReference r:id="rId4" w:type="default"/>
      <w:pgSz w:w="11906" w:h="16838"/>
      <w:pgMar w:top="2098" w:right="1417" w:bottom="2098"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C4230"/>
    <w:rsid w:val="00807066"/>
    <w:rsid w:val="029C49E8"/>
    <w:rsid w:val="02B66EC6"/>
    <w:rsid w:val="0317475B"/>
    <w:rsid w:val="03E06AFF"/>
    <w:rsid w:val="03FB1624"/>
    <w:rsid w:val="03FC7FC1"/>
    <w:rsid w:val="04F023E1"/>
    <w:rsid w:val="080708EF"/>
    <w:rsid w:val="09BE13C6"/>
    <w:rsid w:val="09C1380A"/>
    <w:rsid w:val="0AF239C9"/>
    <w:rsid w:val="0AF73400"/>
    <w:rsid w:val="0B0F078C"/>
    <w:rsid w:val="0BA30080"/>
    <w:rsid w:val="0BEE70B0"/>
    <w:rsid w:val="0EE93C2D"/>
    <w:rsid w:val="126C4230"/>
    <w:rsid w:val="12B27DA8"/>
    <w:rsid w:val="12D1505F"/>
    <w:rsid w:val="13253ABF"/>
    <w:rsid w:val="14B7225A"/>
    <w:rsid w:val="15FC6607"/>
    <w:rsid w:val="16366FF3"/>
    <w:rsid w:val="184369FF"/>
    <w:rsid w:val="192611C3"/>
    <w:rsid w:val="19263CC9"/>
    <w:rsid w:val="1A0750DC"/>
    <w:rsid w:val="1D1D7B14"/>
    <w:rsid w:val="1E6025EC"/>
    <w:rsid w:val="1FAD26A1"/>
    <w:rsid w:val="20C82D9F"/>
    <w:rsid w:val="20D35568"/>
    <w:rsid w:val="21FA521A"/>
    <w:rsid w:val="245A548F"/>
    <w:rsid w:val="253074B8"/>
    <w:rsid w:val="26792C83"/>
    <w:rsid w:val="27EE2113"/>
    <w:rsid w:val="286E3BC5"/>
    <w:rsid w:val="289B2F8B"/>
    <w:rsid w:val="2BED49A0"/>
    <w:rsid w:val="2C9C1910"/>
    <w:rsid w:val="2E4E7608"/>
    <w:rsid w:val="2F36528C"/>
    <w:rsid w:val="308818B3"/>
    <w:rsid w:val="34B76AA8"/>
    <w:rsid w:val="35512631"/>
    <w:rsid w:val="3553293B"/>
    <w:rsid w:val="369B2D0A"/>
    <w:rsid w:val="36E777C3"/>
    <w:rsid w:val="37260ECA"/>
    <w:rsid w:val="39894B5B"/>
    <w:rsid w:val="3A1A1B05"/>
    <w:rsid w:val="3CEC0FDF"/>
    <w:rsid w:val="3D7C445F"/>
    <w:rsid w:val="3F4846C2"/>
    <w:rsid w:val="3FBA1DC1"/>
    <w:rsid w:val="40CD1929"/>
    <w:rsid w:val="41AF05A2"/>
    <w:rsid w:val="435B2758"/>
    <w:rsid w:val="441517F5"/>
    <w:rsid w:val="442835ED"/>
    <w:rsid w:val="442C303A"/>
    <w:rsid w:val="44785533"/>
    <w:rsid w:val="464A51DE"/>
    <w:rsid w:val="468B666E"/>
    <w:rsid w:val="484A70BC"/>
    <w:rsid w:val="4AD410FD"/>
    <w:rsid w:val="4C6C79CD"/>
    <w:rsid w:val="4CF962F5"/>
    <w:rsid w:val="4D1277DE"/>
    <w:rsid w:val="4FD928CA"/>
    <w:rsid w:val="505670A5"/>
    <w:rsid w:val="51374FF3"/>
    <w:rsid w:val="522A7750"/>
    <w:rsid w:val="54373677"/>
    <w:rsid w:val="54462216"/>
    <w:rsid w:val="550412EF"/>
    <w:rsid w:val="57D856E3"/>
    <w:rsid w:val="5A7A72C2"/>
    <w:rsid w:val="5AE40EDD"/>
    <w:rsid w:val="5B2D4717"/>
    <w:rsid w:val="5B3E163C"/>
    <w:rsid w:val="5B3F7B01"/>
    <w:rsid w:val="5C3E0FE5"/>
    <w:rsid w:val="5C5A7D70"/>
    <w:rsid w:val="5D606208"/>
    <w:rsid w:val="5DBD3F74"/>
    <w:rsid w:val="62760979"/>
    <w:rsid w:val="638550E2"/>
    <w:rsid w:val="64246D8F"/>
    <w:rsid w:val="67DC01BB"/>
    <w:rsid w:val="67F80700"/>
    <w:rsid w:val="685816B3"/>
    <w:rsid w:val="696D0034"/>
    <w:rsid w:val="69AE335C"/>
    <w:rsid w:val="6B0718CF"/>
    <w:rsid w:val="6B371B81"/>
    <w:rsid w:val="6C6F7485"/>
    <w:rsid w:val="6CE22029"/>
    <w:rsid w:val="6D2A725E"/>
    <w:rsid w:val="6E0B1AA2"/>
    <w:rsid w:val="6E1623ED"/>
    <w:rsid w:val="6E97771D"/>
    <w:rsid w:val="7141266D"/>
    <w:rsid w:val="72312951"/>
    <w:rsid w:val="737F552A"/>
    <w:rsid w:val="744579FA"/>
    <w:rsid w:val="752D420F"/>
    <w:rsid w:val="765C41F6"/>
    <w:rsid w:val="767924DD"/>
    <w:rsid w:val="775060A2"/>
    <w:rsid w:val="79152B8B"/>
    <w:rsid w:val="7BEA1585"/>
    <w:rsid w:val="7EA72CAF"/>
    <w:rsid w:val="7EBD6B03"/>
    <w:rsid w:val="7F79B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3"/>
    <w:uiPriority w:val="0"/>
    <w:pPr>
      <w:spacing w:after="120" w:line="480" w:lineRule="auto"/>
      <w:ind w:left="420" w:leftChars="200"/>
    </w:p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Normal Indent1"/>
    <w:basedOn w:val="1"/>
    <w:qFormat/>
    <w:uiPriority w:val="0"/>
    <w:pPr>
      <w:ind w:firstLine="420" w:firstLineChars="200"/>
    </w:pPr>
  </w:style>
  <w:style w:type="paragraph" w:customStyle="1" w:styleId="11">
    <w:name w:val="List Paragraph"/>
    <w:basedOn w:val="1"/>
    <w:qFormat/>
    <w:uiPriority w:val="0"/>
    <w:pPr>
      <w:ind w:firstLine="420" w:firstLineChars="200"/>
    </w:pPr>
  </w:style>
  <w:style w:type="paragraph" w:customStyle="1" w:styleId="12">
    <w:name w:val="无间隔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2020-06-03T16:30:00Z</dcterms:created>
  <dc:creator>鸢尾</dc:creator>
  <cp:lastModifiedBy>Administrator</cp:lastModifiedBy>
  <cp:lastPrinted>2020-06-08T17:39:00Z</cp:lastPrinted>
  <dcterms:modified xsi:type="dcterms:W3CDTF">2022-06-22T01:51:19Z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